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Matematica per tutti</w:t>
      </w:r>
    </w:p>
    <w:p>
      <w:r>
        <w:t>Progetto per il Collegio Docenti</w:t>
        <w:br/>
        <w:t>IX edizione   Anno scolastico 2026/2027</w:t>
      </w:r>
    </w:p>
    <w:p>
      <w:r>
        <w:t>Istituto: __________________________________________________________</w:t>
      </w:r>
    </w:p>
    <w:p>
      <w:r>
        <w:t>Responsabile del progetto e coordinatore di istituto: _______________________</w:t>
      </w:r>
    </w:p>
    <w:p>
      <w:r>
        <w:t>Docenti di classe coinvolti e recapiti: ____________________________________</w:t>
        <w:br/>
        <w:t>_________________________________________________________________</w:t>
      </w:r>
    </w:p>
    <w:p>
      <w:r>
        <w:t>Classi coinvolte e categorie: ___________________________________________</w:t>
      </w:r>
    </w:p>
    <w:p>
      <w:pPr>
        <w:pStyle w:val="Heading1"/>
      </w:pPr>
      <w:r>
        <w:t>Sintesi del progetto</w:t>
      </w:r>
    </w:p>
    <w:p>
      <w:r>
        <w:t>Si propone la partecipazione a Matematica per tutti, proposta nazionale dell’associazione ToKalon, realizzata in collaborazione con CreativaMente e Cinecittà World, con il patrocinio di Roma Capitale, Regione Lazio e Università Roma Tre. Il progetto coinvolge tutti gli alunni delle classi aderenti in un percorso di didattica della matematica attraverso il gioco da tavolo, per rafforzare le competenze di base in aritmetica, geometria e logica e superare i preconcetti verso le difficoltà in matematica.</w:t>
      </w:r>
    </w:p>
    <w:p>
      <w:r>
        <w:t>Possono partecipare la scuola primaria, la scuola secondaria di primo grado e il biennio della scuola secondaria di secondo grado. Ogni scuola può iscrivere più classi. L’intera classe partecipa in squadre di 3 o 4 studenti, la cui composizione può essere modificata nelle diverse competizioni.</w:t>
      </w:r>
    </w:p>
    <w:p>
      <w:pPr>
        <w:pStyle w:val="Heading1"/>
      </w:pPr>
      <w:r>
        <w:t>Categorie e competizioni</w:t>
      </w:r>
    </w:p>
    <w:p>
      <w:r>
        <w:t>E2-E3: seconda e terza primaria; E4-E5: quarta e quinta primaria; M: secondaria di primo grado; S: biennio della secondaria di secondo grado. Per queste categorie la proposta comprende ARITMETICA, GEOMETRIA, SET e FANTASTICK, con quota di 90 € a classe.</w:t>
      </w:r>
    </w:p>
    <w:p>
      <w:r>
        <w:t>E1: prima primaria. La proposta PER COMINCIARE comprende due competizioni, SET e Polyminix, con quota di 60 € a classe.</w:t>
      </w:r>
    </w:p>
    <w:tbl>
      <w:tblPr>
        <w:tblW w:type="auto" w:w="0"/>
        <w:tblLayout w:type="fixed"/>
        <w:tblLook w:firstColumn="1" w:firstRow="1" w:lastColumn="0" w:lastRow="0" w:noHBand="0" w:noVBand="1" w:val="04A0"/>
      </w:tblPr>
      <w:tblGrid>
        <w:gridCol w:w="2381"/>
        <w:gridCol w:w="7257"/>
      </w:tblGrid>
      <w:tr>
        <w:trPr>
          <w:cantSplit/>
          <w:tblHeader/>
        </w:trPr>
        <w:tc>
          <w:tcPr>
            <w:tcW w:type="dxa" w:w="2381"/>
            <w:tcBorders>
              <w:top w:val="single" w:sz="4" w:color="D9D9D9"/>
              <w:left w:val="single" w:sz="4" w:color="D9D9D9"/>
              <w:bottom w:val="single" w:sz="4" w:color="D9D9D9"/>
              <w:right w:val="single" w:sz="4" w:color="D9D9D9"/>
            </w:tcBorders>
            <w:shd w:fill="EAEAEA"/>
          </w:tcPr>
          <w:p>
            <w:pPr>
              <w:spacing w:after="100" w:before="100"/>
            </w:pPr>
            <w:r>
              <w:rPr>
                <w:b/>
                <w:sz w:val="20"/>
              </w:rPr>
              <w:t>Competizione</w:t>
            </w:r>
          </w:p>
        </w:tc>
        <w:tc>
          <w:tcPr>
            <w:tcW w:type="dxa" w:w="7257"/>
            <w:tcBorders>
              <w:top w:val="single" w:sz="4" w:color="D9D9D9"/>
              <w:left w:val="single" w:sz="4" w:color="D9D9D9"/>
              <w:bottom w:val="single" w:sz="4" w:color="D9D9D9"/>
              <w:right w:val="single" w:sz="4" w:color="D9D9D9"/>
            </w:tcBorders>
            <w:shd w:fill="EAEAEA"/>
          </w:tcPr>
          <w:p>
            <w:pPr>
              <w:spacing w:after="100" w:before="100"/>
            </w:pPr>
            <w:r>
              <w:rPr>
                <w:b/>
                <w:sz w:val="20"/>
              </w:rPr>
              <w:t>Giochi previsti</w:t>
            </w:r>
          </w:p>
        </w:tc>
      </w:tr>
      <w:tr>
        <w:trPr>
          <w:cantSplit/>
        </w:trPr>
        <w:tc>
          <w:tcPr>
            <w:tcW w:type="dxa" w:w="2381"/>
            <w:tcBorders>
              <w:top w:val="single" w:sz="4" w:color="D9D9D9"/>
              <w:left w:val="single" w:sz="4" w:color="D9D9D9"/>
              <w:bottom w:val="single" w:sz="4" w:color="D9D9D9"/>
              <w:right w:val="single" w:sz="4" w:color="D9D9D9"/>
            </w:tcBorders>
          </w:tcPr>
          <w:p>
            <w:pPr>
              <w:spacing w:after="100" w:before="100"/>
            </w:pPr>
            <w:r>
              <w:rPr>
                <w:b w:val="0"/>
                <w:sz w:val="20"/>
              </w:rPr>
              <w:t>Aritmetica</w:t>
            </w:r>
          </w:p>
        </w:tc>
        <w:tc>
          <w:tcPr>
            <w:tcW w:type="dxa" w:w="7257"/>
            <w:tcBorders>
              <w:top w:val="single" w:sz="4" w:color="D9D9D9"/>
              <w:left w:val="single" w:sz="4" w:color="D9D9D9"/>
              <w:bottom w:val="single" w:sz="4" w:color="D9D9D9"/>
              <w:right w:val="single" w:sz="4" w:color="D9D9D9"/>
            </w:tcBorders>
          </w:tcPr>
          <w:p>
            <w:pPr>
              <w:spacing w:after="100" w:before="100"/>
            </w:pPr>
            <w:r>
              <w:rPr>
                <w:b w:val="0"/>
                <w:sz w:val="20"/>
              </w:rPr>
              <w:t>Rolling CUBES Pytagora, FUNB3RS, Pytagora SMARTY Puzzle solo nelle finalissime</w:t>
            </w:r>
          </w:p>
        </w:tc>
      </w:tr>
      <w:tr>
        <w:trPr>
          <w:cantSplit/>
        </w:trPr>
        <w:tc>
          <w:tcPr>
            <w:tcW w:type="dxa" w:w="2381"/>
            <w:tcBorders>
              <w:top w:val="single" w:sz="4" w:color="D9D9D9"/>
              <w:left w:val="single" w:sz="4" w:color="D9D9D9"/>
              <w:bottom w:val="single" w:sz="4" w:color="D9D9D9"/>
              <w:right w:val="single" w:sz="4" w:color="D9D9D9"/>
            </w:tcBorders>
          </w:tcPr>
          <w:p>
            <w:pPr>
              <w:spacing w:after="100" w:before="100"/>
            </w:pPr>
            <w:r>
              <w:rPr>
                <w:b w:val="0"/>
                <w:sz w:val="20"/>
              </w:rPr>
              <w:t>Geometria</w:t>
            </w:r>
          </w:p>
        </w:tc>
        <w:tc>
          <w:tcPr>
            <w:tcW w:type="dxa" w:w="7257"/>
            <w:tcBorders>
              <w:top w:val="single" w:sz="4" w:color="D9D9D9"/>
              <w:left w:val="single" w:sz="4" w:color="D9D9D9"/>
              <w:bottom w:val="single" w:sz="4" w:color="D9D9D9"/>
              <w:right w:val="single" w:sz="4" w:color="D9D9D9"/>
            </w:tcBorders>
          </w:tcPr>
          <w:p>
            <w:pPr>
              <w:spacing w:after="100" w:before="100"/>
            </w:pPr>
            <w:r>
              <w:rPr>
                <w:b w:val="0"/>
                <w:sz w:val="20"/>
              </w:rPr>
              <w:t>La Boca, Polyminix, Polyminix 7.0</w:t>
            </w:r>
          </w:p>
        </w:tc>
      </w:tr>
      <w:tr>
        <w:trPr>
          <w:cantSplit/>
        </w:trPr>
        <w:tc>
          <w:tcPr>
            <w:tcW w:type="dxa" w:w="2381"/>
            <w:tcBorders>
              <w:top w:val="single" w:sz="4" w:color="D9D9D9"/>
              <w:left w:val="single" w:sz="4" w:color="D9D9D9"/>
              <w:bottom w:val="single" w:sz="4" w:color="D9D9D9"/>
              <w:right w:val="single" w:sz="4" w:color="D9D9D9"/>
            </w:tcBorders>
          </w:tcPr>
          <w:p>
            <w:pPr>
              <w:spacing w:after="100" w:before="100"/>
            </w:pPr>
            <w:r>
              <w:rPr>
                <w:b w:val="0"/>
                <w:sz w:val="20"/>
              </w:rPr>
              <w:t>SET</w:t>
            </w:r>
          </w:p>
        </w:tc>
        <w:tc>
          <w:tcPr>
            <w:tcW w:type="dxa" w:w="7257"/>
            <w:tcBorders>
              <w:top w:val="single" w:sz="4" w:color="D9D9D9"/>
              <w:left w:val="single" w:sz="4" w:color="D9D9D9"/>
              <w:bottom w:val="single" w:sz="4" w:color="D9D9D9"/>
              <w:right w:val="single" w:sz="4" w:color="D9D9D9"/>
            </w:tcBorders>
          </w:tcPr>
          <w:p>
            <w:pPr>
              <w:spacing w:after="100" w:before="100"/>
            </w:pPr>
            <w:r>
              <w:rPr>
                <w:b w:val="0"/>
                <w:sz w:val="20"/>
              </w:rPr>
              <w:t>SET</w:t>
            </w:r>
          </w:p>
        </w:tc>
      </w:tr>
      <w:tr>
        <w:trPr>
          <w:cantSplit/>
        </w:trPr>
        <w:tc>
          <w:tcPr>
            <w:tcW w:type="dxa" w:w="2381"/>
            <w:tcBorders>
              <w:top w:val="single" w:sz="4" w:color="D9D9D9"/>
              <w:left w:val="single" w:sz="4" w:color="D9D9D9"/>
              <w:bottom w:val="single" w:sz="4" w:color="D9D9D9"/>
              <w:right w:val="single" w:sz="4" w:color="D9D9D9"/>
            </w:tcBorders>
          </w:tcPr>
          <w:p>
            <w:pPr>
              <w:spacing w:after="100" w:before="100"/>
            </w:pPr>
            <w:r>
              <w:rPr>
                <w:b w:val="0"/>
                <w:sz w:val="20"/>
              </w:rPr>
              <w:t>FANTASTICK</w:t>
            </w:r>
          </w:p>
        </w:tc>
        <w:tc>
          <w:tcPr>
            <w:tcW w:type="dxa" w:w="7257"/>
            <w:tcBorders>
              <w:top w:val="single" w:sz="4" w:color="D9D9D9"/>
              <w:left w:val="single" w:sz="4" w:color="D9D9D9"/>
              <w:bottom w:val="single" w:sz="4" w:color="D9D9D9"/>
              <w:right w:val="single" w:sz="4" w:color="D9D9D9"/>
            </w:tcBorders>
          </w:tcPr>
          <w:p>
            <w:pPr>
              <w:spacing w:after="100" w:before="100"/>
            </w:pPr>
            <w:r>
              <w:rPr>
                <w:b w:val="0"/>
                <w:sz w:val="20"/>
              </w:rPr>
              <w:t>Fantastick</w:t>
            </w:r>
          </w:p>
        </w:tc>
      </w:tr>
      <w:tr>
        <w:trPr>
          <w:cantSplit/>
        </w:trPr>
        <w:tc>
          <w:tcPr>
            <w:tcW w:type="dxa" w:w="2381"/>
            <w:tcBorders>
              <w:top w:val="single" w:sz="4" w:color="D9D9D9"/>
              <w:left w:val="single" w:sz="4" w:color="D9D9D9"/>
              <w:bottom w:val="single" w:sz="4" w:color="D9D9D9"/>
              <w:right w:val="single" w:sz="4" w:color="D9D9D9"/>
            </w:tcBorders>
          </w:tcPr>
          <w:p>
            <w:pPr>
              <w:spacing w:after="100" w:before="100"/>
            </w:pPr>
            <w:r>
              <w:rPr>
                <w:b w:val="0"/>
                <w:sz w:val="20"/>
              </w:rPr>
              <w:t>Per cominciare E1</w:t>
            </w:r>
          </w:p>
        </w:tc>
        <w:tc>
          <w:tcPr>
            <w:tcW w:type="dxa" w:w="7257"/>
            <w:tcBorders>
              <w:top w:val="single" w:sz="4" w:color="D9D9D9"/>
              <w:left w:val="single" w:sz="4" w:color="D9D9D9"/>
              <w:bottom w:val="single" w:sz="4" w:color="D9D9D9"/>
              <w:right w:val="single" w:sz="4" w:color="D9D9D9"/>
            </w:tcBorders>
          </w:tcPr>
          <w:p>
            <w:pPr>
              <w:spacing w:after="100" w:before="100"/>
            </w:pPr>
            <w:r>
              <w:rPr>
                <w:b w:val="0"/>
                <w:sz w:val="20"/>
              </w:rPr>
              <w:t>SET e Polyminix</w:t>
            </w:r>
          </w:p>
        </w:tc>
      </w:tr>
    </w:tbl>
    <w:p>
      <w:pPr>
        <w:spacing w:before="120"/>
      </w:pPr>
      <w:r>
        <w:br w:type="page"/>
      </w:r>
    </w:p>
    <w:p>
      <w:pPr>
        <w:pStyle w:val="Heading1"/>
      </w:pPr>
      <w:r>
        <w:t>Finalità del progetto</w:t>
      </w:r>
    </w:p>
    <w:p>
      <w:r>
        <w:t>Il progetto offre ai docenti l’opportunità di sperimentare il gioco come strumento per avvicinare ciascun alunno alla matematica. Il percorso valorizza il ragionamento, il confronto sulle strategie e la cooperazione, con attenzione ai bisogni e alle potenzialità di ciascuno.</w:t>
      </w:r>
    </w:p>
    <w:p>
      <w:pPr>
        <w:pStyle w:val="ListBullet"/>
      </w:pPr>
      <w:r>
        <w:t>Migliorare la qualità dell’insegnamento e mostrare che la matematica può essere anche divertente.</w:t>
      </w:r>
    </w:p>
    <w:p>
      <w:pPr>
        <w:pStyle w:val="ListBullet"/>
      </w:pPr>
      <w:r>
        <w:t>Sviluppare il ragionamento oltre il calcolo e l’applicazione di formule, valorizzando logica e creatività.</w:t>
      </w:r>
    </w:p>
    <w:p>
      <w:pPr>
        <w:pStyle w:val="ListBullet"/>
      </w:pPr>
      <w:r>
        <w:t>Coinvolgere gli studenti che incontrano difficoltà o scarsa motivazione e ridurre l’insuccesso scolastico.</w:t>
      </w:r>
    </w:p>
    <w:p>
      <w:pPr>
        <w:pStyle w:val="ListBullet"/>
      </w:pPr>
      <w:r>
        <w:t>Valorizzare le potenzialità degli studenti attraverso la modellizzazione e la ricerca di strategie alternative.</w:t>
      </w:r>
    </w:p>
    <w:p>
      <w:pPr>
        <w:pStyle w:val="ListBullet"/>
      </w:pPr>
      <w:r>
        <w:t>Accrescere le abilità di problem solving e acquisire procedure cognitive flessibili e generalizzabili.</w:t>
      </w:r>
    </w:p>
    <w:p>
      <w:pPr>
        <w:pStyle w:val="ListBullet"/>
      </w:pPr>
      <w:r>
        <w:t>Favorire l’inclusione, la cooperazione e lo sviluppo di attività laboratoriali attraverso il gioco.</w:t>
      </w:r>
    </w:p>
    <w:p>
      <w:pPr>
        <w:pStyle w:val="ListBullet"/>
      </w:pPr>
      <w:r>
        <w:t>Condividere esperienze di formazione e strategie di insegnamento e favorire la collaborazione tra istituti.</w:t>
      </w:r>
    </w:p>
    <w:p>
      <w:pPr>
        <w:pStyle w:val="ListBullet"/>
      </w:pPr>
      <w:r>
        <w:t>Arricchire l’offerta formativa e le attività di orientamento, anche attraverso laboratori per Open Day ed eventi con le famiglie.</w:t>
      </w:r>
    </w:p>
    <w:p>
      <w:r>
        <w:t>Matematica per tutti si propone come modello didattico da integrare nella pratica ordinaria, oltre i singoli momenti di gara. Il progetto si avvale di un comitato didattico-scientifico presieduto dalla prof.ssa Ana Millán Gasca, professore ordinario di Matematiche complementari presso l’Università Roma Tre, con docenti di scuola e universitari.</w:t>
      </w:r>
    </w:p>
    <w:p>
      <w:pPr>
        <w:pStyle w:val="Heading1"/>
      </w:pPr>
      <w:r>
        <w:t>Metodologia e fasi di lavoro</w:t>
      </w:r>
    </w:p>
    <w:p>
      <w:r>
        <w:t>Gioco in classe. I docenti lavorano con tutti gli alunni, inizialmente individualmente o a coppie e poi in squadre di 3 o 4. La formazione di gruppi eterogenei favorisce il contributo di ciascuno. Si discutono strategie, rappresentazioni e soluzioni, per poi affrontare quesiti e problemi legati ai giochi. Il lavoro è supportato dai materiali dell’area RISORSE e dalle prove delle precedenti edizioni.</w:t>
      </w:r>
    </w:p>
    <w:p>
      <w:r>
        <w:t>Selezioni locali. Le prove si svolgono nella scuola e coinvolgono ogni classe iscritta suddivisa in squadre. Per E2-E3, E4-E5, M e S si qualificano le squadre in posizione utile nella propria categoria. Per E1 si qualificano le prime quattro classi di ciascuna delle due competizioni. Tutte le classi partecipanti ricevono un attestato.</w:t>
      </w:r>
    </w:p>
    <w:p>
      <w:r>
        <w:t>Preparazione e gare finali. Si possono dedicare attività alla preparazione delle squadre e delle classi ammesse. Per E2-E3, E4-E5, M e S le finali si svolgono a Roma, a Cinecittà World, con ingresso omaggio al parco. Per E1 le finali si svolgono nelle rispettive scuole, alla presenza di un membro del comitato didattico-scientifico e in videocollegamento con la direzione.</w:t>
      </w:r>
    </w:p>
    <w:p>
      <w:r>
        <w:br w:type="page"/>
      </w:r>
    </w:p>
    <w:p>
      <w:pPr>
        <w:pStyle w:val="Heading1"/>
      </w:pPr>
      <w:r>
        <w:t>Cronoprogramma 2026 2027</w:t>
      </w:r>
    </w:p>
    <w:tbl>
      <w:tblPr>
        <w:tblW w:type="auto" w:w="0"/>
        <w:tblLayout w:type="fixed"/>
        <w:tblLook w:firstColumn="1" w:firstRow="1" w:lastColumn="0" w:lastRow="0" w:noHBand="0" w:noVBand="1" w:val="04A0"/>
      </w:tblPr>
      <w:tblGrid>
        <w:gridCol w:w="2608"/>
        <w:gridCol w:w="7030"/>
      </w:tblGrid>
      <w:tr>
        <w:trPr>
          <w:cantSplit/>
          <w:tblHeader/>
        </w:trPr>
        <w:tc>
          <w:tcPr>
            <w:tcW w:type="dxa" w:w="2608"/>
            <w:tcBorders>
              <w:top w:val="single" w:sz="4" w:color="D9D9D9"/>
              <w:left w:val="single" w:sz="4" w:color="D9D9D9"/>
              <w:bottom w:val="single" w:sz="4" w:color="D9D9D9"/>
              <w:right w:val="single" w:sz="4" w:color="D9D9D9"/>
            </w:tcBorders>
            <w:shd w:fill="EAEAEA"/>
          </w:tcPr>
          <w:p>
            <w:pPr>
              <w:spacing w:after="100" w:before="100"/>
            </w:pPr>
            <w:r>
              <w:rPr>
                <w:b/>
                <w:sz w:val="20"/>
              </w:rPr>
              <w:t>Periodo o scadenza</w:t>
            </w:r>
          </w:p>
        </w:tc>
        <w:tc>
          <w:tcPr>
            <w:tcW w:type="dxa" w:w="7030"/>
            <w:tcBorders>
              <w:top w:val="single" w:sz="4" w:color="D9D9D9"/>
              <w:left w:val="single" w:sz="4" w:color="D9D9D9"/>
              <w:bottom w:val="single" w:sz="4" w:color="D9D9D9"/>
              <w:right w:val="single" w:sz="4" w:color="D9D9D9"/>
            </w:tcBorders>
            <w:shd w:fill="EAEAEA"/>
          </w:tcPr>
          <w:p>
            <w:pPr>
              <w:spacing w:after="100" w:before="100"/>
            </w:pPr>
            <w:r>
              <w:rPr>
                <w:b/>
                <w:sz w:val="20"/>
              </w:rPr>
              <w:t>Attività</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15 settembre 2026</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Apertura delle iscrizioni</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15 ottobre 2026</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Termine per la manifestazione di interesse alla formazione docenti in presenza</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22 gennaio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Chiusura delle iscrizioni</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Durante l’anno scolastico</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Attività in classe con i giochi e i materiali didattici</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1–12 marzo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Selezioni locali per E2-E3, E4-E5, M e S</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Entro il 31 marzo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Comunicazione di squadre finaliste e punteggi per E2-E3, E4-E5, M e S</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12–16 aprile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Selezioni locali per E1</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Entro il 16 aprile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Conferma della partecipazione alle finali di Roma, pena la decadenza del diritto a partecipare</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Entro il 3 maggio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Comunicazione di classi finaliste e punteggi per E1</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Aprile e maggio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Preparazione delle squadre e delle classi finaliste</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14–15 maggio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Finali per E2-E3, E4-E5, M e S a Cinecittà World, Roma</w:t>
            </w:r>
          </w:p>
        </w:tc>
      </w:tr>
      <w:tr>
        <w:trPr>
          <w:cantSplit/>
        </w:trPr>
        <w:tc>
          <w:tcPr>
            <w:tcW w:type="dxa" w:w="2608"/>
            <w:tcBorders>
              <w:top w:val="single" w:sz="4" w:color="D9D9D9"/>
              <w:left w:val="single" w:sz="4" w:color="D9D9D9"/>
              <w:bottom w:val="single" w:sz="4" w:color="D9D9D9"/>
              <w:right w:val="single" w:sz="4" w:color="D9D9D9"/>
            </w:tcBorders>
          </w:tcPr>
          <w:p>
            <w:pPr>
              <w:spacing w:after="100" w:before="100"/>
            </w:pPr>
            <w:r>
              <w:rPr>
                <w:b w:val="0"/>
                <w:sz w:val="20"/>
              </w:rPr>
              <w:t>Giovedì 20 maggio 2027</w:t>
            </w:r>
          </w:p>
        </w:tc>
        <w:tc>
          <w:tcPr>
            <w:tcW w:type="dxa" w:w="7030"/>
            <w:tcBorders>
              <w:top w:val="single" w:sz="4" w:color="D9D9D9"/>
              <w:left w:val="single" w:sz="4" w:color="D9D9D9"/>
              <w:bottom w:val="single" w:sz="4" w:color="D9D9D9"/>
              <w:right w:val="single" w:sz="4" w:color="D9D9D9"/>
            </w:tcBorders>
          </w:tcPr>
          <w:p>
            <w:pPr>
              <w:spacing w:after="100" w:before="100"/>
            </w:pPr>
            <w:r>
              <w:rPr>
                <w:b w:val="0"/>
                <w:sz w:val="20"/>
              </w:rPr>
              <w:t>Finali delle due competizioni E1 nelle rispettive scuole</w:t>
            </w:r>
          </w:p>
        </w:tc>
      </w:tr>
    </w:tbl>
    <w:p>
      <w:pPr>
        <w:pStyle w:val="Heading1"/>
        <w:spacing w:before="120"/>
      </w:pPr>
      <w:r>
        <w:t>Modalità di iscrizione</w:t>
      </w:r>
    </w:p>
    <w:p>
      <w:r>
        <w:t>Le iscrizioni si effettuano dal 15 settembre 2026 al 22 gennaio 2027 sulla piattaforma concorsi.associazionetokalon.it. Per completarle, la scuola invia il modulo di conferma d’iscrizione compilato con tutti i dati dell’istituto; se l’iscrizione è effettuata da una persona fisica, è necessario il pagamento delle quote richieste.</w:t>
      </w:r>
    </w:p>
    <w:p>
      <w:r>
        <w:t>Per il ruolo del docente referente e le procedure tecniche e amministrative:</w:t>
        <w:br/>
        <w:t>matematicapertutti.it/informazioni-iscrizioni-note-amministrative/</w:t>
      </w:r>
    </w:p>
    <w:p>
      <w:pPr>
        <w:pStyle w:val="Heading1"/>
      </w:pPr>
      <w:r>
        <w:t>Materiali e riferimenti</w:t>
      </w:r>
    </w:p>
    <w:p>
      <w:r>
        <w:t>Giochi e quantità consigliate per la classe:</w:t>
        <w:br/>
        <w:t>associazionetokalon.com/giochi-matematica-per-tutti</w:t>
        <w:br/>
        <w:t>Prove delle precedenti edizioni:</w:t>
        <w:br/>
        <w:t>matematicapertutti.it/prove-matematica-per-tutti</w:t>
        <w:br/>
        <w:t>Regolamento delle competizioni: matematicapertutti.it</w:t>
      </w:r>
    </w:p>
    <w:p>
      <w:r>
        <w:t>I libri-gioco della collana U GAME, editi da Scienza Express e collegati ai giochi delle competizioni, possono integrare le attività in classe e a casa.</w:t>
      </w:r>
    </w:p>
    <w:p>
      <w:r>
        <w:br w:type="page"/>
      </w:r>
    </w:p>
    <w:p>
      <w:pPr>
        <w:pStyle w:val="Heading1"/>
      </w:pPr>
      <w:r>
        <w:t>Risorse e preventivo di spesa</w:t>
      </w:r>
    </w:p>
    <w:p>
      <w:r>
        <w:t>Il preventivo sarà definito dall’istituto in base alle classi aderenti, ai giochi già disponibili, alla formazione richiesta e all’eventuale partecipazione alle finali.</w:t>
      </w:r>
    </w:p>
    <w:p>
      <w:r>
        <w:t>Personale della scuola: indicare nominativi, ruoli e ore per progettazione, verifica, documentazione ed eventuali attività di insegnamento aggiuntive.</w:t>
        <w:br/>
        <w:t>_________________________________________________________________</w:t>
        <w:br/>
        <w:t>Ore di non insegnamento: ______   Ore di insegnamento aggiuntivo: ______</w:t>
      </w:r>
    </w:p>
    <w:p>
      <w:pPr>
        <w:pStyle w:val="Heading1"/>
      </w:pPr>
      <w:r>
        <w:t>Formazione docenti facoltativa</w:t>
      </w:r>
    </w:p>
    <w:p>
      <w:r>
        <w:t>È possibile richiedere una formazione in presenza presso l’istituto, distinta dall’iscrizione. Gli sconti dipendono dal numero complessivo di classi iscritte, comprese le prime della primaria.</w:t>
      </w:r>
    </w:p>
    <w:tbl>
      <w:tblPr>
        <w:tblW w:type="auto" w:w="0"/>
        <w:tblLayout w:type="fixed"/>
        <w:tblLook w:firstColumn="1" w:firstRow="1" w:lastColumn="0" w:lastRow="0" w:noHBand="0" w:noVBand="1" w:val="04A0"/>
      </w:tblPr>
      <w:tblGrid>
        <w:gridCol w:w="2835"/>
        <w:gridCol w:w="1701"/>
        <w:gridCol w:w="1701"/>
        <w:gridCol w:w="1701"/>
        <w:gridCol w:w="1701"/>
      </w:tblGrid>
      <w:tr>
        <w:trPr>
          <w:cantSplit/>
          <w:tblHeader/>
        </w:trPr>
        <w:tc>
          <w:tcPr>
            <w:tcW w:type="dxa" w:w="2835"/>
            <w:tcBorders>
              <w:top w:val="single" w:sz="4" w:color="D9D9D9"/>
              <w:left w:val="single" w:sz="4" w:color="D9D9D9"/>
              <w:bottom w:val="single" w:sz="4" w:color="D9D9D9"/>
              <w:right w:val="single" w:sz="4" w:color="D9D9D9"/>
            </w:tcBorders>
            <w:shd w:fill="EAEAEA"/>
          </w:tcPr>
          <w:p>
            <w:pPr>
              <w:spacing w:after="100" w:before="100"/>
            </w:pPr>
            <w:r>
              <w:rPr>
                <w:b/>
                <w:sz w:val="20"/>
              </w:rPr>
              <w:t>Percorso</w:t>
            </w:r>
          </w:p>
        </w:tc>
        <w:tc>
          <w:tcPr>
            <w:tcW w:type="dxa" w:w="1701"/>
            <w:tcBorders>
              <w:top w:val="single" w:sz="4" w:color="D9D9D9"/>
              <w:left w:val="single" w:sz="4" w:color="D9D9D9"/>
              <w:bottom w:val="single" w:sz="4" w:color="D9D9D9"/>
              <w:right w:val="single" w:sz="4" w:color="D9D9D9"/>
            </w:tcBorders>
            <w:shd w:fill="EAEAEA"/>
          </w:tcPr>
          <w:p>
            <w:pPr>
              <w:spacing w:after="100" w:before="100"/>
            </w:pPr>
            <w:r>
              <w:rPr>
                <w:b/>
                <w:sz w:val="20"/>
              </w:rPr>
              <w:t>Tariffa intera</w:t>
            </w:r>
          </w:p>
        </w:tc>
        <w:tc>
          <w:tcPr>
            <w:tcW w:type="dxa" w:w="1701"/>
            <w:tcBorders>
              <w:top w:val="single" w:sz="4" w:color="D9D9D9"/>
              <w:left w:val="single" w:sz="4" w:color="D9D9D9"/>
              <w:bottom w:val="single" w:sz="4" w:color="D9D9D9"/>
              <w:right w:val="single" w:sz="4" w:color="D9D9D9"/>
            </w:tcBorders>
            <w:shd w:fill="EAEAEA"/>
          </w:tcPr>
          <w:p>
            <w:pPr>
              <w:spacing w:after="100" w:before="100"/>
            </w:pPr>
            <w:r>
              <w:rPr>
                <w:b/>
                <w:sz w:val="20"/>
              </w:rPr>
              <w:t>1–5 classi</w:t>
              <w:br/>
              <w:t>−15%</w:t>
            </w:r>
          </w:p>
        </w:tc>
        <w:tc>
          <w:tcPr>
            <w:tcW w:type="dxa" w:w="1701"/>
            <w:tcBorders>
              <w:top w:val="single" w:sz="4" w:color="D9D9D9"/>
              <w:left w:val="single" w:sz="4" w:color="D9D9D9"/>
              <w:bottom w:val="single" w:sz="4" w:color="D9D9D9"/>
              <w:right w:val="single" w:sz="4" w:color="D9D9D9"/>
            </w:tcBorders>
            <w:shd w:fill="EAEAEA"/>
          </w:tcPr>
          <w:p>
            <w:pPr>
              <w:spacing w:after="100" w:before="100"/>
            </w:pPr>
            <w:r>
              <w:rPr>
                <w:b/>
                <w:sz w:val="20"/>
              </w:rPr>
              <w:t>6–14 classi</w:t>
              <w:br/>
              <w:t>−30%</w:t>
            </w:r>
          </w:p>
        </w:tc>
        <w:tc>
          <w:tcPr>
            <w:tcW w:type="dxa" w:w="1701"/>
            <w:tcBorders>
              <w:top w:val="single" w:sz="4" w:color="D9D9D9"/>
              <w:left w:val="single" w:sz="4" w:color="D9D9D9"/>
              <w:bottom w:val="single" w:sz="4" w:color="D9D9D9"/>
              <w:right w:val="single" w:sz="4" w:color="D9D9D9"/>
            </w:tcBorders>
            <w:shd w:fill="EAEAEA"/>
          </w:tcPr>
          <w:p>
            <w:pPr>
              <w:spacing w:after="100" w:before="100"/>
            </w:pPr>
            <w:r>
              <w:rPr>
                <w:b/>
                <w:sz w:val="20"/>
              </w:rPr>
              <w:t>15+ classi</w:t>
              <w:br/>
              <w:t>−40%</w:t>
            </w:r>
          </w:p>
        </w:tc>
      </w:tr>
      <w:tr>
        <w:trPr>
          <w:cantSplit/>
        </w:trPr>
        <w:tc>
          <w:tcPr>
            <w:tcW w:type="dxa" w:w="2835"/>
            <w:tcBorders>
              <w:top w:val="single" w:sz="4" w:color="D9D9D9"/>
              <w:left w:val="single" w:sz="4" w:color="D9D9D9"/>
              <w:bottom w:val="single" w:sz="4" w:color="D9D9D9"/>
              <w:right w:val="single" w:sz="4" w:color="D9D9D9"/>
            </w:tcBorders>
          </w:tcPr>
          <w:p>
            <w:pPr>
              <w:spacing w:after="100" w:before="100"/>
            </w:pPr>
            <w:r>
              <w:rPr>
                <w:b w:val="0"/>
                <w:sz w:val="20"/>
              </w:rPr>
              <w:t>Breve 3 ore</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360 €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306 €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252 €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216 €</w:t>
            </w:r>
          </w:p>
        </w:tc>
      </w:tr>
      <w:tr>
        <w:trPr>
          <w:cantSplit/>
        </w:trPr>
        <w:tc>
          <w:tcPr>
            <w:tcW w:type="dxa" w:w="2835"/>
            <w:tcBorders>
              <w:top w:val="single" w:sz="4" w:color="D9D9D9"/>
              <w:left w:val="single" w:sz="4" w:color="D9D9D9"/>
              <w:bottom w:val="single" w:sz="4" w:color="D9D9D9"/>
              <w:right w:val="single" w:sz="4" w:color="D9D9D9"/>
            </w:tcBorders>
          </w:tcPr>
          <w:p>
            <w:pPr>
              <w:spacing w:after="100" w:before="100"/>
            </w:pPr>
            <w:r>
              <w:rPr>
                <w:b w:val="0"/>
                <w:sz w:val="20"/>
              </w:rPr>
              <w:t>Intermedio 6 ore</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720 €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612 €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504 €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432 €</w:t>
            </w:r>
          </w:p>
        </w:tc>
      </w:tr>
      <w:tr>
        <w:trPr>
          <w:cantSplit/>
        </w:trPr>
        <w:tc>
          <w:tcPr>
            <w:tcW w:type="dxa" w:w="2835"/>
            <w:tcBorders>
              <w:top w:val="single" w:sz="4" w:color="D9D9D9"/>
              <w:left w:val="single" w:sz="4" w:color="D9D9D9"/>
              <w:bottom w:val="single" w:sz="4" w:color="D9D9D9"/>
              <w:right w:val="single" w:sz="4" w:color="D9D9D9"/>
            </w:tcBorders>
          </w:tcPr>
          <w:p>
            <w:pPr>
              <w:spacing w:after="100" w:before="100"/>
            </w:pPr>
            <w:r>
              <w:rPr>
                <w:b w:val="0"/>
                <w:sz w:val="20"/>
              </w:rPr>
              <w:t>Full 9 ore</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1.080 €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918 €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756 €</w:t>
            </w:r>
          </w:p>
        </w:tc>
        <w:tc>
          <w:tcPr>
            <w:tcW w:type="dxa" w:w="1701"/>
            <w:tcBorders>
              <w:top w:val="single" w:sz="4" w:color="D9D9D9"/>
              <w:left w:val="single" w:sz="4" w:color="D9D9D9"/>
              <w:bottom w:val="single" w:sz="4" w:color="D9D9D9"/>
              <w:right w:val="single" w:sz="4" w:color="D9D9D9"/>
            </w:tcBorders>
          </w:tcPr>
          <w:p>
            <w:pPr>
              <w:spacing w:after="100" w:before="100"/>
            </w:pPr>
            <w:r>
              <w:rPr>
                <w:b w:val="0"/>
                <w:sz w:val="20"/>
              </w:rPr>
              <w:t>648 €</w:t>
            </w:r>
          </w:p>
        </w:tc>
      </w:tr>
    </w:tbl>
    <w:p>
      <w:pPr>
        <w:spacing w:before="120"/>
      </w:pPr>
      <w:r>
        <w:t>La manifestazione di interesse va inviata tramite il collegamento indicato nel bando entro il 15 ottobre 2026. Le formazioni sono disponibili in numero limitato, secondo la programmazione territoriale di ToKalon. Le eventuali spese di viaggio, vitto e alloggio del formatore non sono comprese e possono essere conteggiate separatamente solo per trasferte particolarmente onerose o che richiedano pernottamento.</w:t>
      </w:r>
    </w:p>
    <w:p>
      <w:pPr>
        <w:pStyle w:val="Heading1"/>
      </w:pPr>
      <w:r>
        <w:t>Prospetto economico da compilare</w:t>
      </w:r>
    </w:p>
    <w:tbl>
      <w:tblPr>
        <w:tblW w:type="auto" w:w="0"/>
        <w:tblLayout w:type="fixed"/>
        <w:tblLook w:firstColumn="1" w:firstRow="1" w:lastColumn="0" w:lastRow="0" w:noHBand="0" w:noVBand="1" w:val="04A0"/>
      </w:tblPr>
      <w:tblGrid>
        <w:gridCol w:w="3402"/>
        <w:gridCol w:w="3969"/>
        <w:gridCol w:w="2268"/>
      </w:tblGrid>
      <w:tr>
        <w:trPr>
          <w:cantSplit/>
          <w:tblHeader/>
        </w:trPr>
        <w:tc>
          <w:tcPr>
            <w:tcW w:type="dxa" w:w="3402"/>
            <w:tcBorders>
              <w:top w:val="single" w:sz="4" w:color="D9D9D9"/>
              <w:left w:val="single" w:sz="4" w:color="D9D9D9"/>
              <w:bottom w:val="single" w:sz="4" w:color="D9D9D9"/>
              <w:right w:val="single" w:sz="4" w:color="D9D9D9"/>
            </w:tcBorders>
            <w:shd w:fill="EAEAEA"/>
          </w:tcPr>
          <w:p>
            <w:pPr>
              <w:spacing w:after="100" w:before="100"/>
            </w:pPr>
            <w:r>
              <w:rPr>
                <w:b/>
                <w:sz w:val="20"/>
              </w:rPr>
              <w:t>Voce</w:t>
            </w:r>
          </w:p>
        </w:tc>
        <w:tc>
          <w:tcPr>
            <w:tcW w:type="dxa" w:w="3969"/>
            <w:tcBorders>
              <w:top w:val="single" w:sz="4" w:color="D9D9D9"/>
              <w:left w:val="single" w:sz="4" w:color="D9D9D9"/>
              <w:bottom w:val="single" w:sz="4" w:color="D9D9D9"/>
              <w:right w:val="single" w:sz="4" w:color="D9D9D9"/>
            </w:tcBorders>
            <w:shd w:fill="EAEAEA"/>
          </w:tcPr>
          <w:p>
            <w:pPr>
              <w:spacing w:after="100" w:before="100"/>
            </w:pPr>
            <w:r>
              <w:rPr>
                <w:b/>
                <w:sz w:val="20"/>
              </w:rPr>
              <w:t>Quantità o criterio</w:t>
            </w:r>
          </w:p>
        </w:tc>
        <w:tc>
          <w:tcPr>
            <w:tcW w:type="dxa" w:w="2268"/>
            <w:tcBorders>
              <w:top w:val="single" w:sz="4" w:color="D9D9D9"/>
              <w:left w:val="single" w:sz="4" w:color="D9D9D9"/>
              <w:bottom w:val="single" w:sz="4" w:color="D9D9D9"/>
              <w:right w:val="single" w:sz="4" w:color="D9D9D9"/>
            </w:tcBorders>
            <w:shd w:fill="EAEAEA"/>
          </w:tcPr>
          <w:p>
            <w:pPr>
              <w:spacing w:after="100" w:before="100"/>
            </w:pPr>
            <w:r>
              <w:rPr>
                <w:b/>
                <w:sz w:val="20"/>
              </w:rPr>
              <w:t>Importo previsto</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Iscrizione E2-E3, E4-E5, M, S</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t>____ classi × 90 €</w:t>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Iscrizione E1</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t>____ classi × 60 €</w:t>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Acquisto giochi e libri-gioco</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t>Dotazione e preventivi</w:t>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Formazione in presenza</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t>Percorso e fascia di sconto</w:t>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Eventuali trasferte del formatore</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t>Se applicabili</w:t>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Personale e altre risorse</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t>Ore e costi da definire</w:t>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Trasporto e soggiorno per le finali</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t>Partecipanti e preventivi</w:t>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r>
        <w:trPr>
          <w:cantSplit/>
        </w:trPr>
        <w:tc>
          <w:tcPr>
            <w:tcW w:type="dxa" w:w="3402"/>
            <w:tcBorders>
              <w:top w:val="single" w:sz="4" w:color="D9D9D9"/>
              <w:left w:val="single" w:sz="4" w:color="D9D9D9"/>
              <w:bottom w:val="single" w:sz="4" w:color="D9D9D9"/>
              <w:right w:val="single" w:sz="4" w:color="D9D9D9"/>
            </w:tcBorders>
          </w:tcPr>
          <w:p>
            <w:pPr>
              <w:spacing w:after="100" w:before="100"/>
            </w:pPr>
            <w:r>
              <w:rPr>
                <w:b w:val="0"/>
                <w:sz w:val="20"/>
              </w:rPr>
              <w:t>Totale previsto</w:t>
            </w:r>
          </w:p>
        </w:tc>
        <w:tc>
          <w:tcPr>
            <w:tcW w:type="dxa" w:w="3969"/>
            <w:tcBorders>
              <w:top w:val="single" w:sz="4" w:color="D9D9D9"/>
              <w:left w:val="single" w:sz="4" w:color="D9D9D9"/>
              <w:bottom w:val="single" w:sz="4" w:color="D9D9D9"/>
              <w:right w:val="single" w:sz="4" w:color="D9D9D9"/>
            </w:tcBorders>
          </w:tcPr>
          <w:p>
            <w:pPr>
              <w:spacing w:after="100" w:before="100"/>
            </w:pPr>
            <w:r>
              <w:rPr>
                <w:b w:val="0"/>
                <w:sz w:val="20"/>
              </w:rPr>
            </w:r>
          </w:p>
        </w:tc>
        <w:tc>
          <w:tcPr>
            <w:tcW w:type="dxa" w:w="2268"/>
            <w:tcBorders>
              <w:top w:val="single" w:sz="4" w:color="D9D9D9"/>
              <w:left w:val="single" w:sz="4" w:color="D9D9D9"/>
              <w:bottom w:val="single" w:sz="4" w:color="D9D9D9"/>
              <w:right w:val="single" w:sz="4" w:color="D9D9D9"/>
            </w:tcBorders>
          </w:tcPr>
          <w:p>
            <w:pPr>
              <w:spacing w:after="100" w:before="100"/>
            </w:pPr>
            <w:r>
              <w:rPr>
                <w:b w:val="0"/>
                <w:sz w:val="20"/>
              </w:rPr>
              <w:t>________ €</w:t>
            </w:r>
          </w:p>
        </w:tc>
      </w:tr>
    </w:tbl>
    <w:p>
      <w:pPr>
        <w:spacing w:before="120"/>
      </w:pPr>
      <w:r>
        <w:t>Per le finali di Roma sono previste strutture convenzionate a prezzi dedicati; le modalità saranno comunicate successivamente dagli organizzatori.</w:t>
      </w:r>
    </w:p>
    <w:p>
      <w:r>
        <w:t>Segreteria e amministrazione: segreteria@associazionetokalon.com</w:t>
        <w:br/>
        <w:t>Direzione: direzione@matematicapertutti.it</w:t>
      </w:r>
    </w:p>
    <w:p>
      <w:r>
        <w:t>Data: __________________   Il responsabile del progetto: __________________</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9"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Matematica per tutti IX edizione Progetto per il Collegio Docenti</dc:title>
  <dc:subject>Anno scolastico 2026/2027</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